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44254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A2C4AA9">
      <w:pPr>
        <w:pStyle w:val="10"/>
        <w:jc w:val="right"/>
        <w:rPr>
          <w:b/>
          <w:bCs/>
        </w:rPr>
      </w:pPr>
      <w:r>
        <w:rPr>
          <w:b/>
          <w:bCs/>
        </w:rPr>
        <w:t>Приложение №1</w:t>
      </w:r>
    </w:p>
    <w:p w14:paraId="13BB9458">
      <w:pPr>
        <w:pStyle w:val="10"/>
        <w:jc w:val="both"/>
        <w:rPr>
          <w:b/>
          <w:bCs/>
        </w:rPr>
      </w:pPr>
    </w:p>
    <w:p w14:paraId="02BB50D2">
      <w:pPr>
        <w:pStyle w:val="10"/>
        <w:jc w:val="both"/>
        <w:rPr>
          <w:b/>
          <w:bCs/>
        </w:rPr>
      </w:pPr>
    </w:p>
    <w:p w14:paraId="5A0544C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УТВЕРЖДЕНО</w:t>
      </w:r>
    </w:p>
    <w:p w14:paraId="3484A52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приказом от 10.09.2024г  №  103а-ОД</w:t>
      </w:r>
    </w:p>
    <w:p w14:paraId="4F8B4FA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347296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ПОЛОЖЕНИЕ О СИСТЕМЕ (ЦЕЛЕВОЙ МОДЕЛИ) НАСТАВНИЧЕСТВА ПЕДАГОГИЧЕСКИХ РАБОТНИКОВ В </w:t>
      </w:r>
      <w:r>
        <w:rPr>
          <w:rFonts w:ascii="Times New Roman" w:hAnsi="Times New Roman"/>
          <w:b/>
          <w:sz w:val="24"/>
          <w:szCs w:val="24"/>
        </w:rPr>
        <w:t xml:space="preserve">МБОУ  МОКРО-ГАШУНСКОЙ СОШ№7 </w:t>
      </w:r>
    </w:p>
    <w:p w14:paraId="3889DA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ИМ.ПОДПОЛКОВНИКА  В.Ф.БУТЕНКО</w:t>
      </w:r>
    </w:p>
    <w:p w14:paraId="1F224E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CA87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14:paraId="22230C0A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 системе (целевой модели)  наставничества педагогических работников в образовательной организации МБОУ  Мокро-Гашунской  СОШ№7 им.подполковника В.Ф.Бутенко определяет цели, задачи, формы и порядок осуществления наставничества (</w:t>
      </w:r>
      <w:r>
        <w:rPr>
          <w:rFonts w:ascii="Times New Roman" w:hAnsi="Times New Roman"/>
          <w:i/>
          <w:sz w:val="24"/>
          <w:szCs w:val="24"/>
        </w:rPr>
        <w:t>далее</w:t>
      </w:r>
      <w:r>
        <w:rPr>
          <w:rFonts w:ascii="Times New Roman" w:hAnsi="Times New Roman"/>
          <w:sz w:val="24"/>
          <w:szCs w:val="24"/>
        </w:rPr>
        <w:t xml:space="preserve"> – Положение). Разработано в соответствии с нормативной правовой базой в сфере образования и наставничества.</w:t>
      </w:r>
    </w:p>
    <w:p w14:paraId="679DEA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В Положении используются следующие понятия:</w:t>
      </w:r>
    </w:p>
    <w:p w14:paraId="4802A8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Наставник - </w:t>
      </w:r>
      <w:r>
        <w:rPr>
          <w:rFonts w:ascii="Times New Roman" w:hAnsi="Times New Roman"/>
          <w:color w:val="000000"/>
          <w:sz w:val="24"/>
          <w:szCs w:val="24"/>
        </w:rPr>
        <w:t>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14:paraId="1E3279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Наставляемый – </w:t>
      </w:r>
      <w:r>
        <w:rPr>
          <w:rFonts w:ascii="Times New Roman" w:hAnsi="Times New Roman"/>
          <w:bCs/>
          <w:sz w:val="24"/>
          <w:szCs w:val="24"/>
        </w:rPr>
        <w:t>участник системы (целевой модели)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14:paraId="292F79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Куратор – </w:t>
      </w:r>
      <w:r>
        <w:rPr>
          <w:rFonts w:ascii="Times New Roman" w:hAnsi="Times New Roman"/>
          <w:sz w:val="24"/>
          <w:szCs w:val="24"/>
        </w:rPr>
        <w:t>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14:paraId="2F5F3E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Наставничество – </w:t>
      </w:r>
      <w:r>
        <w:rPr>
          <w:rFonts w:ascii="Times New Roman" w:hAnsi="Times New Roman"/>
          <w:sz w:val="24"/>
          <w:szCs w:val="24"/>
        </w:rPr>
        <w:t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42657F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Форма наставничества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способ реализации системы (целевой модели) 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14:paraId="4CC44F0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Персонализированная программа наставничества </w:t>
      </w:r>
      <w:r>
        <w:rPr>
          <w:rFonts w:ascii="Times New Roman" w:hAnsi="Times New Roman"/>
          <w:sz w:val="24"/>
          <w:szCs w:val="24"/>
        </w:rPr>
        <w:t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затруднений/запросов наставляемого и на поддержку его сильных сторон.</w:t>
      </w:r>
    </w:p>
    <w:p w14:paraId="35BE78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Основными принципами системы (целевой модели) наставничества педагогических работников являются:</w:t>
      </w:r>
    </w:p>
    <w:p w14:paraId="298D663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14:paraId="2790F6D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14:paraId="2FCB9B7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</w:t>
      </w:r>
      <w:r>
        <w:rPr>
          <w:rFonts w:ascii="Times New Roman" w:hAnsi="Times New Roman"/>
          <w:i/>
          <w:sz w:val="24"/>
          <w:szCs w:val="24"/>
        </w:rPr>
        <w:t>легитимности</w:t>
      </w:r>
      <w:r>
        <w:rPr>
          <w:rFonts w:ascii="Times New Roman" w:hAnsi="Times New Roman"/>
          <w:sz w:val="24"/>
          <w:szCs w:val="24"/>
        </w:rPr>
        <w:t xml:space="preserve"> подразумевает соответствие деятельности по реализации системы (целевой модели) наставничества законодательству Российской Федерации, региональной нормативно-правовой базе; </w:t>
      </w:r>
    </w:p>
    <w:p w14:paraId="5197B1E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</w:t>
      </w:r>
      <w:r>
        <w:rPr>
          <w:rFonts w:ascii="Times New Roman" w:hAnsi="Times New Roman"/>
          <w:i/>
          <w:sz w:val="24"/>
          <w:szCs w:val="24"/>
        </w:rPr>
        <w:t>обеспечения суверенных прав личности</w:t>
      </w:r>
      <w:r>
        <w:rPr>
          <w:rFonts w:ascii="Times New Roman" w:hAnsi="Times New Roman"/>
          <w:sz w:val="24"/>
          <w:szCs w:val="24"/>
        </w:rP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14:paraId="121D095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</w:t>
      </w:r>
      <w:r>
        <w:rPr>
          <w:rFonts w:ascii="Times New Roman" w:hAnsi="Times New Roman"/>
          <w:i/>
          <w:sz w:val="24"/>
          <w:szCs w:val="24"/>
        </w:rPr>
        <w:t>добровольности, свободы выбора, учета многофакторности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в определении и совместной деятельности наставника и наставляемого; </w:t>
      </w:r>
    </w:p>
    <w:p w14:paraId="2B94141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</w:t>
      </w:r>
      <w:r>
        <w:rPr>
          <w:rFonts w:ascii="Times New Roman" w:hAnsi="Times New Roman"/>
          <w:i/>
          <w:sz w:val="24"/>
          <w:szCs w:val="24"/>
        </w:rPr>
        <w:t>аксиологичности</w:t>
      </w:r>
      <w:r>
        <w:rPr>
          <w:rFonts w:ascii="Times New Roman" w:hAnsi="Times New Roman"/>
          <w:sz w:val="24"/>
          <w:szCs w:val="24"/>
        </w:rPr>
        <w:t xml:space="preserve"> подразумевает формирование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14:paraId="1936AC6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</w:t>
      </w:r>
      <w:r>
        <w:rPr>
          <w:rFonts w:ascii="Times New Roman" w:hAnsi="Times New Roman"/>
          <w:i/>
          <w:sz w:val="24"/>
          <w:szCs w:val="24"/>
        </w:rPr>
        <w:t>личной ответственности</w:t>
      </w:r>
      <w:r>
        <w:rPr>
          <w:rFonts w:ascii="Times New Roman" w:hAnsi="Times New Roman"/>
          <w:sz w:val="24"/>
          <w:szCs w:val="24"/>
        </w:rPr>
        <w:t xml:space="preserve">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14:paraId="137854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</w:t>
      </w:r>
      <w:r>
        <w:rPr>
          <w:rFonts w:ascii="Times New Roman" w:hAnsi="Times New Roman"/>
          <w:i/>
          <w:sz w:val="24"/>
          <w:szCs w:val="24"/>
        </w:rPr>
        <w:t>индивидуализации и персонализации</w:t>
      </w:r>
      <w:r>
        <w:rPr>
          <w:rFonts w:ascii="Times New Roman" w:hAnsi="Times New Roman"/>
          <w:sz w:val="24"/>
          <w:szCs w:val="24"/>
        </w:rP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14:paraId="6ABF23B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</w:t>
      </w:r>
      <w:r>
        <w:rPr>
          <w:rFonts w:ascii="Times New Roman" w:hAnsi="Times New Roman"/>
          <w:i/>
          <w:sz w:val="24"/>
          <w:szCs w:val="24"/>
        </w:rPr>
        <w:t>равенства</w:t>
      </w:r>
      <w:r>
        <w:rPr>
          <w:rFonts w:ascii="Times New Roman" w:hAnsi="Times New Roman"/>
          <w:sz w:val="24"/>
          <w:szCs w:val="24"/>
        </w:rP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14:paraId="4A398B0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Участие в системе (целевой модели)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14:paraId="110EC2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58C1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Цель и задачи системы (целевой модели)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наставничества. </w:t>
      </w:r>
    </w:p>
    <w:p w14:paraId="73A884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наставничества</w:t>
      </w:r>
    </w:p>
    <w:p w14:paraId="419CD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i/>
          <w:sz w:val="24"/>
          <w:szCs w:val="24"/>
        </w:rPr>
        <w:t xml:space="preserve"> Цель </w:t>
      </w:r>
      <w:r>
        <w:rPr>
          <w:rFonts w:ascii="Times New Roman" w:hAnsi="Times New Roman"/>
          <w:sz w:val="24"/>
          <w:szCs w:val="24"/>
        </w:rPr>
        <w:t>системы (целевой модели)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14:paraId="15AD1D3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i/>
          <w:sz w:val="24"/>
          <w:szCs w:val="24"/>
        </w:rPr>
        <w:t xml:space="preserve"> Задачи </w:t>
      </w:r>
      <w:r>
        <w:rPr>
          <w:rFonts w:ascii="Times New Roman" w:hAnsi="Times New Roman"/>
          <w:sz w:val="24"/>
          <w:szCs w:val="24"/>
        </w:rPr>
        <w:t xml:space="preserve">системы (целевой модели) </w:t>
      </w:r>
      <w:r>
        <w:rPr>
          <w:rFonts w:ascii="Times New Roman" w:hAnsi="Times New Roman"/>
          <w:color w:val="000000"/>
          <w:sz w:val="24"/>
          <w:szCs w:val="24"/>
        </w:rPr>
        <w:t>наставничества педагогических работников:</w:t>
      </w:r>
    </w:p>
    <w:p w14:paraId="23BDE3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14:paraId="4F5A71E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14:paraId="125203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14:paraId="3A0F63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14:paraId="7600D1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увеличению числа закрепившихся в профессии педагогических кадров, в том числе молодых/начинающих педагогов;</w:t>
      </w:r>
    </w:p>
    <w:p w14:paraId="7EF518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14:paraId="2E1174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14:paraId="7D662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ускорять процесс профессионального становления и развития педагога,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14:paraId="0325D1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14:paraId="4F9BE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14:paraId="73D877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698B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наставничества,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14:paraId="734C82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168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образовательной организации применяются разнообразные виды наставничества педагогических работников:</w:t>
      </w:r>
    </w:p>
    <w:p w14:paraId="3CF77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Виртуальное (дистанционное) наставничество</w:t>
      </w:r>
      <w:r>
        <w:rPr>
          <w:rFonts w:ascii="Times New Roman" w:hAnsi="Times New Roman"/>
          <w:sz w:val="24"/>
          <w:szCs w:val="24"/>
        </w:rPr>
        <w:t xml:space="preserve"> – вид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14:paraId="44236A8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i/>
          <w:sz w:val="24"/>
          <w:szCs w:val="24"/>
          <w:lang w:eastAsia="ru-RU"/>
        </w:rPr>
        <w:t>Наставничество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i/>
          <w:sz w:val="24"/>
          <w:szCs w:val="24"/>
          <w:lang w:eastAsia="ru-RU"/>
        </w:rPr>
        <w:t xml:space="preserve">в группе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– вид наставничества, когда один наставник взаимодействует с группой наставляемых одновременно (от двух и более человек).</w:t>
      </w:r>
    </w:p>
    <w:p w14:paraId="2EF179A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i/>
          <w:sz w:val="24"/>
          <w:szCs w:val="24"/>
          <w:lang w:eastAsia="ru-RU"/>
        </w:rPr>
        <w:t xml:space="preserve">Краткосрочное или целеполагающее наставничество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– вид наставничества, когда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6F7762D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i/>
          <w:sz w:val="24"/>
          <w:szCs w:val="24"/>
          <w:lang w:eastAsia="ru-RU"/>
        </w:rPr>
        <w:t xml:space="preserve">Реверсивное наставничество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– вид наставничества, когда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14:paraId="12DF5E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Ситуационное наставничество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вид наставничества, когда </w:t>
      </w:r>
      <w:r>
        <w:rPr>
          <w:rFonts w:ascii="Times New Roman" w:hAnsi="Times New Roman"/>
          <w:sz w:val="24"/>
          <w:szCs w:val="24"/>
        </w:rPr>
        <w:t>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27932D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Скоростное наставничество</w:t>
      </w:r>
      <w:r>
        <w:rPr>
          <w:rFonts w:ascii="Times New Roman" w:hAnsi="Times New Roman"/>
          <w:sz w:val="24"/>
          <w:szCs w:val="24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14:paraId="262ED7B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i/>
          <w:sz w:val="24"/>
          <w:szCs w:val="24"/>
          <w:lang w:eastAsia="ru-RU"/>
        </w:rPr>
        <w:t>Традиционная форма наставничества</w:t>
      </w:r>
      <w:r>
        <w:rPr>
          <w:rFonts w:ascii="Times New Roman" w:hAnsi="Times New Roman" w:eastAsia="Times New Roman"/>
          <w:bCs/>
          <w:i/>
          <w:sz w:val="24"/>
          <w:szCs w:val="24"/>
          <w:lang w:eastAsia="ru-RU"/>
        </w:rPr>
        <w:t xml:space="preserve"> («один-на-один»)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14:paraId="29D3D7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наставничества используются как в одном виде, так и в комплексе в зависимости от запланированных эффектов.</w:t>
      </w:r>
    </w:p>
    <w:p w14:paraId="1920B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3FFD9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Организация системы (целевой модели) наставничества</w:t>
      </w:r>
    </w:p>
    <w:p w14:paraId="341F86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Наставничество организуется на основании приказа руководителя образовательной организации.</w:t>
      </w:r>
    </w:p>
    <w:p w14:paraId="30C742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Педагогический работник назначается наставником приказом руководителя образовательной организации.</w:t>
      </w:r>
    </w:p>
    <w:p w14:paraId="35C786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Руководитель образовательной организации:</w:t>
      </w:r>
    </w:p>
    <w:p w14:paraId="2B8418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14:paraId="4CD598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14:paraId="31294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14:paraId="720BD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утверждает Дорожную карту (план мероприятий) по реализации Положения о системе (целевой модели) наставничества педагогических работников в образовательной организации;</w:t>
      </w:r>
    </w:p>
    <w:p w14:paraId="2A1334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издает приказ(ы) о закреплении наставнических пар/групп;</w:t>
      </w:r>
    </w:p>
    <w:p w14:paraId="0996D8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14:paraId="42FED5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14:paraId="307A2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Куратор реализации программ наставничества:</w:t>
      </w:r>
    </w:p>
    <w:p w14:paraId="7FA81B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назначается руководителем образовательной организации;</w:t>
      </w:r>
    </w:p>
    <w:p w14:paraId="33334E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14:paraId="62305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14:paraId="010F9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разрабатывает Дорожную карту (план мероприятий) по реализации Положения о системе (целевой модели) наставничества педагогических работников в образовательной организации;</w:t>
      </w:r>
    </w:p>
    <w:p w14:paraId="48DB0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14:paraId="2583E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14:paraId="7ACE1D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координацию деятельности по наставничеству с ответственными и неформальными представителями региональной системы (целевой модели) наставничества, с сетевыми педагогическими сообществами;</w:t>
      </w:r>
    </w:p>
    <w:p w14:paraId="1A49F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14:paraId="043298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курирует процесс разработки и реализации персонализированных программ наставничества;</w:t>
      </w:r>
    </w:p>
    <w:p w14:paraId="596A46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совместно с руководителем образовательной организации мониторинг реализации системы (целевой модели) наставничества педагогических работников в образовательной организации;</w:t>
      </w:r>
    </w:p>
    <w:p w14:paraId="7291F4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мониторинг эффективности и результативности реализации системы (целевой модели)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(целевой модели) наставничества, реализации персонализированных программ наставничества педагогических работников;</w:t>
      </w:r>
    </w:p>
    <w:p w14:paraId="6E032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14:paraId="2A60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Методическое объединение наставников/комиссия/совет (при его наличии):</w:t>
      </w:r>
    </w:p>
    <w:p w14:paraId="7FA2B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14:paraId="236BCC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14:paraId="3F7845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14:paraId="6882E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14:paraId="1F356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14:paraId="7832A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14:paraId="72AA59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участвует в мониторинге реализации персонализированных программ наставничества педагогических работников;</w:t>
      </w:r>
    </w:p>
    <w:p w14:paraId="2C1FE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является открытой площадкой для осуществления консультационных, согласовательных функций и функций медиации;</w:t>
      </w:r>
    </w:p>
    <w:p w14:paraId="70A5D3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14:paraId="581F78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14:paraId="2E60C6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4E189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trike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Права и обязанности наставника </w:t>
      </w:r>
    </w:p>
    <w:p w14:paraId="0E43A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Права наставника:</w:t>
      </w:r>
    </w:p>
    <w:p w14:paraId="56F0CE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привлекать для оказания помощи наставляемому других педагогических работников образовательной организации с их согласия;</w:t>
      </w:r>
    </w:p>
    <w:p w14:paraId="1972E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14:paraId="23891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14:paraId="600384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мониторинг деятельности наставляемого в форме личной проверки выполнения заданий.</w:t>
      </w:r>
    </w:p>
    <w:p w14:paraId="182951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Обязанности наставника:</w:t>
      </w:r>
    </w:p>
    <w:p w14:paraId="4C05E5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14:paraId="56E21D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находиться во взаимодействии со всеми структурами образовательной организации, осуществляющими работу с наставляемым (предметные кафедры, психологические службы, школа молодого учителя, методический (педагогический) совет и пр.);</w:t>
      </w:r>
    </w:p>
    <w:p w14:paraId="396E1E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14:paraId="0E259F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14:paraId="6DCD9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14:paraId="12DCF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5EC64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14:paraId="14A1A6B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/>
          <w:b/>
          <w:sz w:val="24"/>
          <w:szCs w:val="24"/>
          <w:lang w:eastAsia="ru-RU"/>
        </w:rPr>
      </w:pPr>
    </w:p>
    <w:p w14:paraId="3CC36B3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5. Права и обязанности наставляемого</w:t>
      </w:r>
    </w:p>
    <w:p w14:paraId="3375F5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5.1. Права наставляемого:</w:t>
      </w:r>
    </w:p>
    <w:p w14:paraId="38772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систематически повышать свой профессиональный уровень;</w:t>
      </w:r>
    </w:p>
    <w:p w14:paraId="53063A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участвовать в составлении персонализированной программы наставничества педагогических работников;</w:t>
      </w:r>
    </w:p>
    <w:p w14:paraId="3B461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обращаться к наставнику за помощью по вопросам, связанным с должностными обязанностями, профессиональной деятельностью;</w:t>
      </w:r>
    </w:p>
    <w:p w14:paraId="29F786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14:paraId="2256B5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обращаться к куратору и руководителю образовательной организации с ходатайством о замене наставника.</w:t>
      </w:r>
    </w:p>
    <w:p w14:paraId="38667B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5.2. Обязанности наставляемого:</w:t>
      </w:r>
    </w:p>
    <w:p w14:paraId="7FBB3F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14:paraId="1F6F4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реализовывать мероприятия плана персонализированной программы наставничества в установленные сроки;</w:t>
      </w:r>
    </w:p>
    <w:p w14:paraId="6EF6D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соблюдать правила внутреннего трудового распорядка образовательной организации;</w:t>
      </w:r>
    </w:p>
    <w:p w14:paraId="1F6BB2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14:paraId="224248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выполнять указания и рекомендации наставника по исполнению должностных, профессиональных обязанностей;</w:t>
      </w:r>
    </w:p>
    <w:p w14:paraId="7D6B5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14:paraId="60863B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устранять совместно с наставником допущенные ошибки и выявленные затруднения;</w:t>
      </w:r>
    </w:p>
    <w:p w14:paraId="5A7BA0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проявлять дисциплинированность, организованность и культуру в работе и учебе;</w:t>
      </w:r>
    </w:p>
    <w:p w14:paraId="75914D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- учиться у наставника передовым, инновационным методам и формам работы, правильно строить свои взаимоотношения с ним.</w:t>
      </w:r>
    </w:p>
    <w:p w14:paraId="1340B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464D92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 Процесс формирования пар и групп наставников и педагогов, в отношении которых осуществляется наставничество</w:t>
      </w:r>
    </w:p>
    <w:p w14:paraId="6D356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6.1. Формирование наставнических пар (групп) осуществляется по основным критериям:</w:t>
      </w:r>
    </w:p>
    <w:p w14:paraId="215D3F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14:paraId="48314A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14:paraId="35EB05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14:paraId="713396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ADF88A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Завершение персонализированной программы наставничества</w:t>
      </w:r>
    </w:p>
    <w:p w14:paraId="1FE2EB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Завершение персонализированной программы наставничества происходит в случае:</w:t>
      </w:r>
    </w:p>
    <w:p w14:paraId="2398E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завершения плана мероприятий персонализированной программы наставничества в полном объеме;</w:t>
      </w:r>
    </w:p>
    <w:p w14:paraId="441535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инициативе наставника или наставляемого и/или обоюдному решению (по уважительным обстоятельствам);</w:t>
      </w:r>
    </w:p>
    <w:p w14:paraId="3E52C2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14:paraId="27C2AAD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</w:t>
      </w:r>
    </w:p>
    <w:p w14:paraId="1ECD10C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14:paraId="108298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A5DD4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8.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14:paraId="689209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14:paraId="25AABD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На сайте размещаются сведения о реализуемых персонализированных программах наставничества педагогических работников, лучшие кейсы по итогам реализации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14:paraId="442F38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14:paraId="20EDEE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4C2FC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>9. Заключительные положения</w:t>
      </w:r>
    </w:p>
    <w:p w14:paraId="225BE6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14:paraId="7BE73D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14:paraId="4A99209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>
          <w:pgSz w:w="11906" w:h="16838"/>
          <w:pgMar w:top="1134" w:right="850" w:bottom="1134" w:left="1261" w:header="708" w:footer="708" w:gutter="0"/>
          <w:cols w:space="720" w:num="1"/>
        </w:sectPr>
      </w:pPr>
    </w:p>
    <w:p w14:paraId="7AF14E6A">
      <w:pPr>
        <w:pStyle w:val="10"/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Приложение № 2</w:t>
      </w:r>
    </w:p>
    <w:p w14:paraId="35AFEBFB">
      <w:pPr>
        <w:pStyle w:val="10"/>
        <w:jc w:val="right"/>
        <w:rPr>
          <w:b/>
          <w:bCs/>
          <w:sz w:val="22"/>
        </w:rPr>
      </w:pPr>
      <w:r>
        <w:rPr>
          <w:b/>
          <w:bCs/>
          <w:sz w:val="22"/>
        </w:rPr>
        <w:t>к  приказу №103а-ОД от  10.09.2024г.</w:t>
      </w:r>
    </w:p>
    <w:p w14:paraId="3919B7E4">
      <w:pPr>
        <w:pStyle w:val="10"/>
        <w:jc w:val="both"/>
        <w:rPr>
          <w:b/>
          <w:bCs/>
          <w:szCs w:val="28"/>
        </w:rPr>
      </w:pPr>
    </w:p>
    <w:p w14:paraId="23A716BD">
      <w:pPr>
        <w:pStyle w:val="1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Дорожная карта (план мероприятий) по реализации Положения о системе </w:t>
      </w:r>
      <w:r>
        <w:rPr>
          <w:b/>
          <w:bCs/>
          <w:szCs w:val="28"/>
        </w:rPr>
        <w:br w:type="textWrapping"/>
      </w:r>
      <w:r>
        <w:rPr>
          <w:b/>
          <w:bCs/>
          <w:szCs w:val="28"/>
        </w:rPr>
        <w:t xml:space="preserve">(целевой модели) наставничества педагогических работников </w:t>
      </w:r>
    </w:p>
    <w:p w14:paraId="4681BEB5">
      <w:pPr>
        <w:pStyle w:val="10"/>
        <w:jc w:val="center"/>
        <w:rPr>
          <w:b/>
          <w:bCs/>
          <w:szCs w:val="28"/>
        </w:rPr>
      </w:pPr>
      <w:r>
        <w:rPr>
          <w:b/>
          <w:bCs/>
          <w:szCs w:val="28"/>
        </w:rPr>
        <w:t>в  МБОУ  Мокро-Гашунская СОШ№7 им.подполковника В.Ф.Бутенко</w:t>
      </w:r>
      <w:r>
        <w:rPr>
          <w:b/>
          <w:bCs/>
          <w:szCs w:val="28"/>
        </w:rPr>
        <w:br w:type="textWrapping"/>
      </w:r>
      <w:r>
        <w:rPr>
          <w:b/>
          <w:bCs/>
          <w:szCs w:val="28"/>
        </w:rPr>
        <w:t>на 2024 – 2025 год.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3"/>
        <w:gridCol w:w="2693"/>
        <w:gridCol w:w="3340"/>
      </w:tblGrid>
      <w:tr w14:paraId="61BF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660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425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79D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Ответственные</w:t>
            </w:r>
          </w:p>
        </w:tc>
      </w:tr>
      <w:tr w14:paraId="1246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BED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Информирование педагогического и родительского сообщества, обучающихся  о планируемой реализации программы наставничества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77B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2DE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классные руководители</w:t>
            </w:r>
          </w:p>
        </w:tc>
      </w:tr>
      <w:tr w14:paraId="253EA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62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Сбор информации о запросах наставляемых от обучающихся, третьих лиц: классный руководитель, психолог, социальный педагог, родитель. Формирование базы наставляемых.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411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223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классные руководители, наставники</w:t>
            </w:r>
          </w:p>
        </w:tc>
      </w:tr>
      <w:tr w14:paraId="59010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C1E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Выбор форм наставничества, реализуемых  в рамках текущей программы наставничества.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6E8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CD9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наставники</w:t>
            </w:r>
          </w:p>
        </w:tc>
      </w:tr>
      <w:tr w14:paraId="406F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A5B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Проведение собеседования с наставниками.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F93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CC6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</w:t>
            </w:r>
          </w:p>
        </w:tc>
      </w:tr>
      <w:tr w14:paraId="4483E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D54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Закрепление наставников  за наставляемыми.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C83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FAE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</w:t>
            </w:r>
          </w:p>
        </w:tc>
      </w:tr>
      <w:tr w14:paraId="6DA4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50D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Проведение организационной встречи наставника и наставляемого.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FC5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68F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наставники</w:t>
            </w:r>
          </w:p>
        </w:tc>
      </w:tr>
      <w:tr w14:paraId="02E43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FE1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Проведение встречи-планирования рабочего процесса  в рамках программы наставничества с наставником и наставляемым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E8F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04E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наставники</w:t>
            </w:r>
          </w:p>
        </w:tc>
      </w:tr>
      <w:tr w14:paraId="6E80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1CF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04A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2C2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Наставники</w:t>
            </w:r>
          </w:p>
        </w:tc>
      </w:tr>
      <w:tr w14:paraId="2644C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94F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Сроки сбора обратной связи  от участников программы наставничества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87A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Апрель-май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00E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наставники</w:t>
            </w:r>
          </w:p>
        </w:tc>
      </w:tr>
      <w:tr w14:paraId="774CE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FF7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D4A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DCF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Наставники</w:t>
            </w:r>
          </w:p>
        </w:tc>
      </w:tr>
      <w:tr w14:paraId="5EF8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224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Анкетирование участников. Подведение мониторинга личной удовлетворенности  участием в программе наставничества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596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B7A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Наставники</w:t>
            </w:r>
          </w:p>
        </w:tc>
      </w:tr>
      <w:tr w14:paraId="4C09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3E8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Оформление итогов и процессов совместной  работы в рамках программы наставничества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A6D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F0D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наставники</w:t>
            </w:r>
          </w:p>
        </w:tc>
      </w:tr>
      <w:tr w14:paraId="7D65B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409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Внесение данных  об итогах реализации программы наставничества в базу наставников и базу наставляемых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12E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A7F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</w:t>
            </w:r>
          </w:p>
        </w:tc>
      </w:tr>
    </w:tbl>
    <w:p w14:paraId="6486224F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110ADF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>
          <w:pgSz w:w="16838" w:h="11906" w:orient="landscape"/>
          <w:pgMar w:top="1701" w:right="1134" w:bottom="850" w:left="1134" w:header="708" w:footer="708" w:gutter="0"/>
          <w:cols w:space="720" w:num="1"/>
        </w:sectPr>
      </w:pPr>
    </w:p>
    <w:p w14:paraId="15A45EA7">
      <w:bookmarkStart w:id="0" w:name="_GoBack"/>
      <w:bookmarkEnd w:id="0"/>
    </w:p>
    <w:sectPr>
      <w:pgSz w:w="11906" w:h="16838"/>
      <w:pgMar w:top="1134" w:right="850" w:bottom="1134" w:left="126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D47CAE"/>
    <w:multiLevelType w:val="multilevel"/>
    <w:tmpl w:val="37D47CAE"/>
    <w:lvl w:ilvl="0" w:tentative="0">
      <w:start w:val="1"/>
      <w:numFmt w:val="decimal"/>
      <w:lvlText w:val="%1)"/>
      <w:lvlJc w:val="left"/>
      <w:pPr>
        <w:ind w:left="675" w:hanging="675"/>
      </w:pPr>
    </w:lvl>
    <w:lvl w:ilvl="1" w:tentative="0">
      <w:start w:val="1"/>
      <w:numFmt w:val="decimal"/>
      <w:lvlText w:val="%1.%2."/>
      <w:lvlJc w:val="left"/>
      <w:pPr>
        <w:ind w:left="1080" w:hanging="720"/>
      </w:pPr>
    </w:lvl>
    <w:lvl w:ilvl="2" w:tentative="0">
      <w:start w:val="2"/>
      <w:numFmt w:val="decimal"/>
      <w:lvlText w:val="%1.%2.%3."/>
      <w:lvlJc w:val="left"/>
      <w:pPr>
        <w:ind w:left="1440" w:hanging="720"/>
      </w:pPr>
    </w:lvl>
    <w:lvl w:ilvl="3" w:tentative="0">
      <w:start w:val="1"/>
      <w:numFmt w:val="decimal"/>
      <w:lvlText w:val="%1.%2.%3.%4."/>
      <w:lvlJc w:val="left"/>
      <w:pPr>
        <w:ind w:left="2160" w:hanging="1080"/>
      </w:pPr>
    </w:lvl>
    <w:lvl w:ilvl="4" w:tentative="0">
      <w:start w:val="1"/>
      <w:numFmt w:val="decimal"/>
      <w:lvlText w:val="%1.%2.%3.%4.%5."/>
      <w:lvlJc w:val="left"/>
      <w:pPr>
        <w:ind w:left="2520" w:hanging="1080"/>
      </w:pPr>
    </w:lvl>
    <w:lvl w:ilvl="5" w:tentative="0">
      <w:start w:val="1"/>
      <w:numFmt w:val="decimal"/>
      <w:lvlText w:val="%1.%2.%3.%4.%5.%6."/>
      <w:lvlJc w:val="left"/>
      <w:pPr>
        <w:ind w:left="3240" w:hanging="1440"/>
      </w:pPr>
    </w:lvl>
    <w:lvl w:ilvl="6" w:tentative="0">
      <w:start w:val="1"/>
      <w:numFmt w:val="decimal"/>
      <w:lvlText w:val="%1.%2.%3.%4.%5.%6.%7."/>
      <w:lvlJc w:val="left"/>
      <w:pPr>
        <w:ind w:left="3960" w:hanging="1800"/>
      </w:pPr>
    </w:lvl>
    <w:lvl w:ilvl="7" w:tentative="0">
      <w:start w:val="1"/>
      <w:numFmt w:val="decimal"/>
      <w:lvlText w:val="%1.%2.%3.%4.%5.%6.%7.%8."/>
      <w:lvlJc w:val="left"/>
      <w:pPr>
        <w:ind w:left="4320" w:hanging="1800"/>
      </w:pPr>
    </w:lvl>
    <w:lvl w:ilvl="8" w:tentative="0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>
    <w:nsid w:val="522051D3"/>
    <w:multiLevelType w:val="multilevel"/>
    <w:tmpl w:val="522051D3"/>
    <w:lvl w:ilvl="0" w:tentative="0">
      <w:start w:val="7"/>
      <w:numFmt w:val="decimal"/>
      <w:lvlText w:val="%1."/>
      <w:lvlJc w:val="left"/>
      <w:pPr>
        <w:ind w:left="1211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17"/>
    <w:rsid w:val="007014DE"/>
    <w:rsid w:val="007B7B17"/>
    <w:rsid w:val="2BD55677"/>
    <w:rsid w:val="49AA4371"/>
    <w:rsid w:val="70F8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5">
    <w:name w:val="Table Grid"/>
    <w:basedOn w:val="3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Знак"/>
    <w:basedOn w:val="2"/>
    <w:link w:val="4"/>
    <w:semiHidden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7">
    <w:name w:val="Без интервала Знак"/>
    <w:link w:val="8"/>
    <w:qFormat/>
    <w:locked/>
    <w:uiPriority w:val="1"/>
    <w:rPr>
      <w:rFonts w:ascii="Times New Roman" w:hAnsi="Times New Roman" w:eastAsia="Times New Roman" w:cs="Times New Roman"/>
      <w:lang w:val="en-US" w:bidi="en-US"/>
    </w:rPr>
  </w:style>
  <w:style w:type="paragraph" w:styleId="8">
    <w:name w:val="No Spacing"/>
    <w:link w:val="7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4941</Words>
  <Characters>28168</Characters>
  <Lines>234</Lines>
  <Paragraphs>66</Paragraphs>
  <TotalTime>5</TotalTime>
  <ScaleCrop>false</ScaleCrop>
  <LinksUpToDate>false</LinksUpToDate>
  <CharactersWithSpaces>33043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2025-03-03T12:13:00Z</dcterms:created>
  <dc:creator>Админ</dc:creator>
  <cp:lastModifiedBy>user</cp:lastModifiedBy>
  <cp:lastPrinted>2025-03-03T12:27:00Z</cp:lastPrinted>
  <dcterms:modified xsi:type="dcterms:W3CDTF">2025-03-03T12:29:05Z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E6994A12A30B4E5F85108A2EE80127A2_13</vt:lpwstr>
  </property>
</Properties>
</file>